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453E" w:rsidRDefault="005E453E" w:rsidP="005E453E">
      <w:pPr>
        <w:pStyle w:val="Title"/>
      </w:pPr>
      <w:r>
        <w:t>Engineering Award Criteria</w:t>
      </w:r>
    </w:p>
    <w:p w:rsidR="005E453E" w:rsidRDefault="005E453E"/>
    <w:p w:rsidR="00CA4274" w:rsidRDefault="005E453E">
      <w:r>
        <w:t>1</w:t>
      </w:r>
      <w:r w:rsidR="00B27B69">
        <w:t xml:space="preserve">2 Feb 2014, Engineering Council (unanimous) </w:t>
      </w:r>
    </w:p>
    <w:p w:rsidR="005E453E" w:rsidRDefault="005E453E">
      <w:r>
        <w:t>15 Nov 2018, addition of Service Award; reformatting</w:t>
      </w:r>
    </w:p>
    <w:p w:rsidR="005E453E" w:rsidRDefault="005E453E"/>
    <w:p w:rsidR="00CA4274" w:rsidRDefault="00CA4274"/>
    <w:p w:rsidR="00CA4274" w:rsidRDefault="00B27B69" w:rsidP="00C171BE">
      <w:pPr>
        <w:pStyle w:val="Heading2"/>
      </w:pPr>
      <w:r>
        <w:t>General guidelines for all awards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Not intended to echo awards received elsewhere.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Nomination process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General announcement to all T/TT faculty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Nomination by ad-hoc committees of motivated faculty, not necessarily within a single department or managed by chairs; self-nomination is acceptable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Nominations collected by dean’s office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Joint review and consensus agreement among dean and council (one vote for council, one for dean)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It is expected that nomination documents are concise (not to exceed 3 pages) and directly address award selection criteria.</w:t>
      </w:r>
    </w:p>
    <w:p w:rsidR="00CA4274" w:rsidRDefault="00CA4274"/>
    <w:p w:rsidR="00CA4274" w:rsidRPr="00B27B69" w:rsidRDefault="00B27B69" w:rsidP="00C171BE">
      <w:pPr>
        <w:pStyle w:val="Heading2"/>
      </w:pPr>
      <w:r w:rsidRPr="00B27B69">
        <w:t>Staff Awards</w:t>
      </w:r>
    </w:p>
    <w:p w:rsidR="00CA4274" w:rsidRDefault="00B27B69">
      <w:pPr>
        <w:numPr>
          <w:ilvl w:val="0"/>
          <w:numId w:val="1"/>
        </w:numPr>
        <w:ind w:hanging="359"/>
        <w:contextualSpacing/>
      </w:pPr>
      <w:r>
        <w:t xml:space="preserve">Intention of donors </w:t>
      </w:r>
    </w:p>
    <w:p w:rsidR="00CA4274" w:rsidRDefault="00B27B69">
      <w:pPr>
        <w:numPr>
          <w:ilvl w:val="1"/>
          <w:numId w:val="1"/>
        </w:numPr>
        <w:ind w:hanging="359"/>
        <w:contextualSpacing/>
      </w:pPr>
      <w:r>
        <w:t>To reward exceptional clerical, administrative and technical departmental staff who further the mission of the departments, college and university.</w:t>
      </w:r>
    </w:p>
    <w:p w:rsidR="00CA4274" w:rsidRDefault="00B27B69">
      <w:pPr>
        <w:numPr>
          <w:ilvl w:val="0"/>
          <w:numId w:val="1"/>
        </w:numPr>
        <w:ind w:hanging="359"/>
        <w:contextualSpacing/>
      </w:pPr>
      <w:r>
        <w:t>Criteria: Evidence of exceptional ...</w:t>
      </w:r>
    </w:p>
    <w:p w:rsidR="00CA4274" w:rsidRDefault="00B27B69">
      <w:pPr>
        <w:numPr>
          <w:ilvl w:val="1"/>
          <w:numId w:val="1"/>
        </w:numPr>
        <w:ind w:hanging="359"/>
        <w:contextualSpacing/>
      </w:pPr>
      <w:r>
        <w:t>Efficient, effective, and responsible execution of duties</w:t>
      </w:r>
    </w:p>
    <w:p w:rsidR="00CA4274" w:rsidRDefault="00B27B69">
      <w:pPr>
        <w:numPr>
          <w:ilvl w:val="1"/>
          <w:numId w:val="1"/>
        </w:numPr>
        <w:ind w:hanging="359"/>
        <w:contextualSpacing/>
      </w:pPr>
      <w:r>
        <w:t>Sensitivity and responsiveness to college, departmental and/or student needs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Eligibility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Permanent administrative (clerical) departmental &amp; college staff</w:t>
      </w:r>
    </w:p>
    <w:p w:rsidR="00CA4274" w:rsidRDefault="00CA4274"/>
    <w:p w:rsidR="00CA4274" w:rsidRPr="00B27B69" w:rsidRDefault="00B27B69" w:rsidP="00C171BE">
      <w:pPr>
        <w:pStyle w:val="Heading2"/>
      </w:pPr>
      <w:r w:rsidRPr="00B27B69">
        <w:t>Research Awards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Criteria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Intellectual merit - the extent that science is being advanced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Broader impact of research (for society other than student engagement)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Meaningful engagement of students in research (beyond serving as technicians)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Commentary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This award should be given to faculty who are mentoring the future generation of scientific leaders.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 xml:space="preserve">This award should be for research that advances the forefront of knowledge and thereby providing tangible evidence of UTEP’s excellence in research.  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Typical evidence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Evidence of merit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Evidence of impact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Evidence of meaningful student involvement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Eligibility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T/TT faculty</w:t>
      </w:r>
    </w:p>
    <w:p w:rsidR="00CA4274" w:rsidRDefault="00CA4274"/>
    <w:p w:rsidR="00CA4274" w:rsidRPr="00B27B69" w:rsidRDefault="00B27B69" w:rsidP="00C171BE">
      <w:pPr>
        <w:pStyle w:val="Heading2"/>
      </w:pPr>
      <w:r w:rsidRPr="00B27B69">
        <w:t>Instruction Awards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Criteria: Measurable evidence of exceptional educational impact including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Effective development of students’ technical and/or professional skills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lastRenderedPageBreak/>
        <w:t>Improvement of retention or student learning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Commentary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The primary criteria is impact upon student achievement.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Innovation is less critical than effectiveness.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We view instruction broadly.  Faculty contribute to education in (virtual) classrooms, labs, and in a variety of planning and curriculum design contexts.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Impact on students’ future success matters far more than popularity</w:t>
      </w:r>
      <w:proofErr w:type="gramStart"/>
      <w:r>
        <w:t>..</w:t>
      </w:r>
      <w:proofErr w:type="gramEnd"/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Typical evidence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Measurable evidence of impact</w:t>
      </w:r>
    </w:p>
    <w:p w:rsidR="00CA4274" w:rsidRDefault="00B27B69">
      <w:pPr>
        <w:numPr>
          <w:ilvl w:val="0"/>
          <w:numId w:val="2"/>
        </w:numPr>
        <w:ind w:hanging="359"/>
        <w:contextualSpacing/>
      </w:pPr>
      <w:r>
        <w:t>Eligibility</w:t>
      </w:r>
    </w:p>
    <w:p w:rsidR="00CA4274" w:rsidRDefault="00B27B69">
      <w:pPr>
        <w:numPr>
          <w:ilvl w:val="1"/>
          <w:numId w:val="2"/>
        </w:numPr>
        <w:ind w:hanging="359"/>
        <w:contextualSpacing/>
      </w:pPr>
      <w:r>
        <w:t>Any UTEP student, faculty, or staff contributing to excellence in engineering education at UTEP</w:t>
      </w:r>
    </w:p>
    <w:p w:rsidR="00352CBC" w:rsidRDefault="00352CBC" w:rsidP="00352CBC">
      <w:pPr>
        <w:contextualSpacing/>
      </w:pPr>
    </w:p>
    <w:p w:rsidR="00352CBC" w:rsidRPr="00BB7BC6" w:rsidRDefault="00352CBC" w:rsidP="00C171BE">
      <w:pPr>
        <w:pStyle w:val="Heading2"/>
      </w:pPr>
      <w:r w:rsidRPr="00B27B69">
        <w:t>Service Awards</w:t>
      </w:r>
      <w:r w:rsidR="00BB7BC6" w:rsidRPr="00773056">
        <w:t xml:space="preserve">  </w:t>
      </w:r>
      <w:r w:rsidR="00BB7BC6">
        <w:t xml:space="preserve"> </w:t>
      </w:r>
    </w:p>
    <w:p w:rsidR="00352CBC" w:rsidRDefault="00352CBC" w:rsidP="00352CBC">
      <w:pPr>
        <w:numPr>
          <w:ilvl w:val="0"/>
          <w:numId w:val="2"/>
        </w:numPr>
        <w:ind w:hanging="359"/>
        <w:contextualSpacing/>
      </w:pPr>
      <w:r>
        <w:t>Criteria: Measurable evidence of exceptio</w:t>
      </w:r>
      <w:r w:rsidR="00B27B69">
        <w:t>nal service impact</w:t>
      </w:r>
    </w:p>
    <w:p w:rsidR="005E453E" w:rsidRPr="005E453E" w:rsidRDefault="00352CBC" w:rsidP="005E453E">
      <w:pPr>
        <w:widowControl/>
        <w:numPr>
          <w:ilvl w:val="1"/>
          <w:numId w:val="3"/>
        </w:numPr>
        <w:ind w:hanging="359"/>
        <w:contextualSpacing/>
        <w:rPr>
          <w:rFonts w:ascii="Calibri" w:eastAsiaTheme="minorHAnsi" w:hAnsi="Calibri" w:cs="Calibri"/>
          <w:color w:val="auto"/>
        </w:rPr>
      </w:pPr>
      <w:r>
        <w:t xml:space="preserve">Improvement </w:t>
      </w:r>
      <w:r w:rsidR="00B27B69">
        <w:t>of societal conditions</w:t>
      </w:r>
      <w:r w:rsidR="005E453E">
        <w:t>, etc.</w:t>
      </w:r>
    </w:p>
    <w:p w:rsidR="005E453E" w:rsidRDefault="005E453E" w:rsidP="005E453E">
      <w:pPr>
        <w:widowControl/>
        <w:numPr>
          <w:ilvl w:val="1"/>
          <w:numId w:val="3"/>
        </w:numPr>
        <w:ind w:hanging="359"/>
        <w:contextualSpacing/>
        <w:rPr>
          <w:rFonts w:ascii="Calibri" w:eastAsiaTheme="minorHAnsi" w:hAnsi="Calibri" w:cs="Calibri"/>
          <w:color w:val="auto"/>
        </w:rPr>
      </w:pPr>
      <w:bookmarkStart w:id="0" w:name="_GoBack"/>
      <w:bookmarkEnd w:id="0"/>
      <w:r>
        <w:t>For contributions other than thro</w:t>
      </w:r>
      <w:r>
        <w:t xml:space="preserve">ugh research or teaching </w:t>
      </w:r>
    </w:p>
    <w:p w:rsidR="00352CBC" w:rsidRDefault="005E453E" w:rsidP="005E453E">
      <w:pPr>
        <w:widowControl/>
        <w:numPr>
          <w:ilvl w:val="1"/>
          <w:numId w:val="3"/>
        </w:numPr>
        <w:ind w:hanging="359"/>
        <w:contextualSpacing/>
      </w:pPr>
      <w:r>
        <w:t>May or may not directly relat</w:t>
      </w:r>
      <w:r>
        <w:t xml:space="preserve">e to UTEP or the College </w:t>
      </w:r>
    </w:p>
    <w:p w:rsidR="00352CBC" w:rsidRDefault="00352CBC" w:rsidP="00352CBC">
      <w:pPr>
        <w:numPr>
          <w:ilvl w:val="0"/>
          <w:numId w:val="2"/>
        </w:numPr>
        <w:ind w:hanging="359"/>
        <w:contextualSpacing/>
      </w:pPr>
      <w:r>
        <w:t>Commentary</w:t>
      </w:r>
    </w:p>
    <w:p w:rsidR="00352CBC" w:rsidRDefault="00B27B69" w:rsidP="00B27B69">
      <w:pPr>
        <w:numPr>
          <w:ilvl w:val="1"/>
          <w:numId w:val="2"/>
        </w:numPr>
        <w:ind w:hanging="359"/>
        <w:contextualSpacing/>
      </w:pPr>
      <w:r>
        <w:t>The primary criteria are</w:t>
      </w:r>
      <w:r w:rsidR="00352CBC">
        <w:t xml:space="preserve"> </w:t>
      </w:r>
      <w:r>
        <w:t>Service to the Public and positive impact to society</w:t>
      </w:r>
    </w:p>
    <w:p w:rsidR="00352CBC" w:rsidRDefault="00352CBC" w:rsidP="00352CBC">
      <w:pPr>
        <w:numPr>
          <w:ilvl w:val="0"/>
          <w:numId w:val="2"/>
        </w:numPr>
        <w:ind w:hanging="359"/>
        <w:contextualSpacing/>
      </w:pPr>
      <w:r>
        <w:t>Typical evidence</w:t>
      </w:r>
    </w:p>
    <w:p w:rsidR="00352CBC" w:rsidRDefault="00352CBC" w:rsidP="00352CBC">
      <w:pPr>
        <w:numPr>
          <w:ilvl w:val="1"/>
          <w:numId w:val="2"/>
        </w:numPr>
        <w:ind w:hanging="359"/>
        <w:contextualSpacing/>
      </w:pPr>
      <w:r>
        <w:t>Measurable evidence of impact</w:t>
      </w:r>
    </w:p>
    <w:p w:rsidR="00352CBC" w:rsidRDefault="00352CBC" w:rsidP="00352CBC">
      <w:pPr>
        <w:numPr>
          <w:ilvl w:val="0"/>
          <w:numId w:val="2"/>
        </w:numPr>
        <w:ind w:hanging="359"/>
        <w:contextualSpacing/>
      </w:pPr>
      <w:r>
        <w:t>Eligibility</w:t>
      </w:r>
    </w:p>
    <w:p w:rsidR="00352CBC" w:rsidRDefault="00352CBC" w:rsidP="00352CBC">
      <w:pPr>
        <w:numPr>
          <w:ilvl w:val="1"/>
          <w:numId w:val="2"/>
        </w:numPr>
        <w:ind w:hanging="359"/>
        <w:contextualSpacing/>
      </w:pPr>
      <w:r>
        <w:t>Any student, faculty, or s</w:t>
      </w:r>
      <w:r w:rsidR="00B27B69">
        <w:t>taff member</w:t>
      </w:r>
    </w:p>
    <w:p w:rsidR="00352CBC" w:rsidRDefault="00352CBC" w:rsidP="00352CBC">
      <w:pPr>
        <w:contextualSpacing/>
      </w:pPr>
    </w:p>
    <w:sectPr w:rsidR="00352CB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3E" w:rsidRDefault="005E453E" w:rsidP="005E453E">
      <w:pPr>
        <w:spacing w:line="240" w:lineRule="auto"/>
      </w:pPr>
      <w:r>
        <w:separator/>
      </w:r>
    </w:p>
  </w:endnote>
  <w:endnote w:type="continuationSeparator" w:id="0">
    <w:p w:rsidR="005E453E" w:rsidRDefault="005E453E" w:rsidP="005E4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3E" w:rsidRDefault="005E453E" w:rsidP="005E453E">
      <w:pPr>
        <w:spacing w:line="240" w:lineRule="auto"/>
      </w:pPr>
      <w:r>
        <w:separator/>
      </w:r>
    </w:p>
  </w:footnote>
  <w:footnote w:type="continuationSeparator" w:id="0">
    <w:p w:rsidR="005E453E" w:rsidRDefault="005E453E" w:rsidP="005E4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346"/>
    <w:multiLevelType w:val="multilevel"/>
    <w:tmpl w:val="2C504A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00474C5"/>
    <w:multiLevelType w:val="multilevel"/>
    <w:tmpl w:val="E89E8B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4274"/>
    <w:rsid w:val="00352CBC"/>
    <w:rsid w:val="005C6AD2"/>
    <w:rsid w:val="005E453E"/>
    <w:rsid w:val="00773056"/>
    <w:rsid w:val="00B27B69"/>
    <w:rsid w:val="00BB7BC6"/>
    <w:rsid w:val="00C171BE"/>
    <w:rsid w:val="00C736A5"/>
    <w:rsid w:val="00C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19D79-345F-46B6-B17D-D5DBEBD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5E45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3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45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3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College Award Policy.docx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College Award Policy.docx</dc:title>
  <dc:creator>Smith, Eric D</dc:creator>
  <cp:lastModifiedBy>Nigel Ward</cp:lastModifiedBy>
  <cp:revision>6</cp:revision>
  <cp:lastPrinted>2018-11-20T16:40:00Z</cp:lastPrinted>
  <dcterms:created xsi:type="dcterms:W3CDTF">2018-10-17T14:57:00Z</dcterms:created>
  <dcterms:modified xsi:type="dcterms:W3CDTF">2018-11-20T16:40:00Z</dcterms:modified>
</cp:coreProperties>
</file>